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Vision Statement: </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vision is to create a secure framework that allows AI agents to perform useful, real-world tasks without giving them unrestricted access to sensitive credentials or cryptographic keys. By combining agent identity, nuanced authorization policies, impermanent access, and SpaceComputer’s KMS and Orbitport infrastructure, we aim to show how organizations can safely give different agents only the capabilities required for their specific roles.</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Project Goal:</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Build a working authorization layer that allows AI agents to securely request and use SpaceComputer KMS capabilities based on their identity, role, requested action, resource, and context.</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Initial Success Criteria:</w:t>
      </w:r>
    </w:p>
    <w:p w:rsidR="00000000" w:rsidDel="00000000" w:rsidP="00000000" w:rsidRDefault="00000000" w:rsidRPr="00000000" w14:paraId="00000008">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Multiple agents with distinct roles and permissions</w:t>
      </w:r>
    </w:p>
    <w:p w:rsidR="00000000" w:rsidDel="00000000" w:rsidP="00000000" w:rsidRDefault="00000000" w:rsidRPr="00000000" w14:paraId="00000009">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Cedar-based allow/deny policy enforcement</w:t>
      </w:r>
    </w:p>
    <w:p w:rsidR="00000000" w:rsidDel="00000000" w:rsidP="00000000" w:rsidRDefault="00000000" w:rsidRPr="00000000" w14:paraId="0000000A">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Short-lived or scoped credential access</w:t>
      </w:r>
    </w:p>
    <w:p w:rsidR="00000000" w:rsidDel="00000000" w:rsidP="00000000" w:rsidRDefault="00000000" w:rsidRPr="00000000" w14:paraId="0000000B">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Audit visibility into agent requests and authorization decisions</w:t>
      </w:r>
    </w:p>
    <w:p w:rsidR="00000000" w:rsidDel="00000000" w:rsidP="00000000" w:rsidRDefault="00000000" w:rsidRPr="00000000" w14:paraId="0000000C">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At least one real end-to-end agent workflow through Orbitport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